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6B" w:rsidRPr="00172D76" w:rsidRDefault="0067266B" w:rsidP="0067266B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266B" w:rsidRDefault="0067266B" w:rsidP="0067266B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266B" w:rsidRPr="00172D76" w:rsidRDefault="0067266B" w:rsidP="0067266B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266B" w:rsidRDefault="001A2AEF" w:rsidP="00672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September 14</w:t>
      </w:r>
      <w:r w:rsidR="0067266B">
        <w:rPr>
          <w:rFonts w:ascii="Arial" w:hAnsi="Arial" w:cs="Arial"/>
          <w:b/>
          <w:bCs/>
          <w:sz w:val="20"/>
          <w:szCs w:val="20"/>
        </w:rPr>
        <w:t>, 2011</w:t>
      </w:r>
    </w:p>
    <w:p w:rsidR="0067266B" w:rsidRDefault="0067266B" w:rsidP="00672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266B" w:rsidRDefault="00F14C85" w:rsidP="00672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MINUTES</w:t>
      </w:r>
    </w:p>
    <w:p w:rsidR="0067266B" w:rsidRDefault="0067266B" w:rsidP="00672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266B" w:rsidRDefault="00F14C85" w:rsidP="00672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Present: Lisa Everett, Angela </w:t>
      </w:r>
      <w:proofErr w:type="spellStart"/>
      <w:r>
        <w:rPr>
          <w:rFonts w:ascii="Arial" w:hAnsi="Arial" w:cs="Arial"/>
          <w:bCs/>
          <w:szCs w:val="20"/>
        </w:rPr>
        <w:t>Amaya</w:t>
      </w:r>
      <w:proofErr w:type="spellEnd"/>
      <w:r>
        <w:rPr>
          <w:rFonts w:ascii="Arial" w:hAnsi="Arial" w:cs="Arial"/>
          <w:bCs/>
          <w:szCs w:val="20"/>
        </w:rPr>
        <w:t xml:space="preserve">, Robin Roy, </w:t>
      </w:r>
      <w:proofErr w:type="spellStart"/>
      <w:r>
        <w:rPr>
          <w:rFonts w:ascii="Arial" w:hAnsi="Arial" w:cs="Arial"/>
          <w:bCs/>
          <w:szCs w:val="20"/>
        </w:rPr>
        <w:t>Rajinder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Samra</w:t>
      </w:r>
      <w:proofErr w:type="spellEnd"/>
      <w:r>
        <w:rPr>
          <w:rFonts w:ascii="Arial" w:hAnsi="Arial" w:cs="Arial"/>
          <w:bCs/>
          <w:szCs w:val="20"/>
        </w:rPr>
        <w:t xml:space="preserve">, </w:t>
      </w:r>
      <w:proofErr w:type="spellStart"/>
      <w:r>
        <w:rPr>
          <w:rFonts w:ascii="Arial" w:hAnsi="Arial" w:cs="Arial"/>
          <w:bCs/>
          <w:szCs w:val="20"/>
        </w:rPr>
        <w:t>Candita</w:t>
      </w:r>
      <w:proofErr w:type="spellEnd"/>
      <w:r>
        <w:rPr>
          <w:rFonts w:ascii="Arial" w:hAnsi="Arial" w:cs="Arial"/>
          <w:bCs/>
          <w:szCs w:val="20"/>
        </w:rPr>
        <w:t xml:space="preserve"> Wager, Ashley McHale, Paula </w:t>
      </w:r>
      <w:proofErr w:type="spellStart"/>
      <w:r>
        <w:rPr>
          <w:rFonts w:ascii="Arial" w:hAnsi="Arial" w:cs="Arial"/>
          <w:bCs/>
          <w:szCs w:val="20"/>
        </w:rPr>
        <w:t>Schoenecker</w:t>
      </w:r>
      <w:proofErr w:type="spellEnd"/>
      <w:r>
        <w:rPr>
          <w:rFonts w:ascii="Arial" w:hAnsi="Arial" w:cs="Arial"/>
          <w:bCs/>
          <w:szCs w:val="20"/>
        </w:rPr>
        <w:t xml:space="preserve">, Michelle Gonzales, John </w:t>
      </w:r>
      <w:proofErr w:type="spellStart"/>
      <w:r>
        <w:rPr>
          <w:rFonts w:ascii="Arial" w:hAnsi="Arial" w:cs="Arial"/>
          <w:bCs/>
          <w:szCs w:val="20"/>
        </w:rPr>
        <w:t>Ruys</w:t>
      </w:r>
      <w:proofErr w:type="spellEnd"/>
      <w:r>
        <w:rPr>
          <w:rFonts w:ascii="Arial" w:hAnsi="Arial" w:cs="Arial"/>
          <w:bCs/>
          <w:szCs w:val="20"/>
        </w:rPr>
        <w:t>, Kimberly Tomlinson, Jonathan Brickman.</w:t>
      </w:r>
    </w:p>
    <w:p w:rsidR="0067266B" w:rsidRPr="0067266B" w:rsidRDefault="0067266B" w:rsidP="0067266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</w:p>
    <w:p w:rsidR="0067266B" w:rsidRDefault="0067266B" w:rsidP="00672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  <w:proofErr w:type="spellStart"/>
      <w:r w:rsidRPr="0067266B">
        <w:rPr>
          <w:rFonts w:ascii="Arial" w:hAnsi="Arial" w:cs="Arial"/>
          <w:bCs/>
          <w:szCs w:val="20"/>
        </w:rPr>
        <w:t>BaSk</w:t>
      </w:r>
      <w:proofErr w:type="spellEnd"/>
      <w:r w:rsidRPr="0067266B">
        <w:rPr>
          <w:rFonts w:ascii="Arial" w:hAnsi="Arial" w:cs="Arial"/>
          <w:bCs/>
          <w:szCs w:val="20"/>
        </w:rPr>
        <w:t xml:space="preserve"> Website</w:t>
      </w:r>
      <w:r w:rsidR="00F14C85">
        <w:rPr>
          <w:rFonts w:ascii="Arial" w:hAnsi="Arial" w:cs="Arial"/>
          <w:bCs/>
          <w:szCs w:val="20"/>
        </w:rPr>
        <w:t xml:space="preserve"> t</w:t>
      </w:r>
      <w:r w:rsidR="00522688">
        <w:rPr>
          <w:rFonts w:ascii="Arial" w:hAnsi="Arial" w:cs="Arial"/>
          <w:bCs/>
          <w:szCs w:val="20"/>
        </w:rPr>
        <w:t>our for new committee members.</w:t>
      </w:r>
    </w:p>
    <w:p w:rsidR="00C9406A" w:rsidRPr="0067266B" w:rsidRDefault="00C9406A" w:rsidP="0067266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</w:p>
    <w:p w:rsidR="00A50413" w:rsidRDefault="001A2AEF" w:rsidP="00A50413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1A2AEF">
        <w:rPr>
          <w:rFonts w:ascii="Arial" w:hAnsi="Arial"/>
        </w:rPr>
        <w:t xml:space="preserve">Review and discuss </w:t>
      </w:r>
      <w:r w:rsidR="0067266B" w:rsidRPr="001A2AEF">
        <w:rPr>
          <w:rFonts w:ascii="Arial" w:hAnsi="Arial"/>
          <w:i/>
        </w:rPr>
        <w:t>2011-2012 Basic Skills Allocation Action Plan and Expenditure Plan</w:t>
      </w:r>
      <w:r w:rsidR="0067266B" w:rsidRPr="001A2AEF">
        <w:rPr>
          <w:rFonts w:ascii="Arial" w:hAnsi="Arial"/>
        </w:rPr>
        <w:t xml:space="preserve"> </w:t>
      </w:r>
      <w:r w:rsidRPr="001A2AEF">
        <w:rPr>
          <w:rFonts w:ascii="Arial" w:hAnsi="Arial"/>
        </w:rPr>
        <w:t>which is d</w:t>
      </w:r>
      <w:r w:rsidR="0067266B" w:rsidRPr="001A2AEF">
        <w:rPr>
          <w:rFonts w:ascii="Arial" w:hAnsi="Arial"/>
        </w:rPr>
        <w:t>ue to State Office by</w:t>
      </w:r>
      <w:r w:rsidR="00A50413" w:rsidRPr="001A2AEF">
        <w:rPr>
          <w:rFonts w:ascii="Arial" w:hAnsi="Arial"/>
        </w:rPr>
        <w:t xml:space="preserve"> October 10, 2011</w:t>
      </w:r>
      <w:r w:rsidR="001F311C" w:rsidRPr="001A2AEF">
        <w:rPr>
          <w:rFonts w:ascii="Arial" w:hAnsi="Arial"/>
        </w:rPr>
        <w:t xml:space="preserve">.  </w:t>
      </w:r>
    </w:p>
    <w:p w:rsidR="00F14C85" w:rsidRPr="00F14C85" w:rsidRDefault="00F14C85" w:rsidP="00F14C85">
      <w:pPr>
        <w:pStyle w:val="ListParagraph"/>
        <w:rPr>
          <w:rFonts w:ascii="Arial" w:hAnsi="Arial"/>
        </w:rPr>
      </w:pPr>
    </w:p>
    <w:p w:rsidR="00F14C85" w:rsidRDefault="00F14C85" w:rsidP="00F14C85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Committee reviewed English, ESL and Math course sequence flow charts and the CB08 and CB21 coding associated with all courses.  </w:t>
      </w:r>
    </w:p>
    <w:p w:rsidR="00F14C85" w:rsidRDefault="00F14C85" w:rsidP="00F14C85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CB08 codes for basic skills courses:</w:t>
      </w:r>
    </w:p>
    <w:p w:rsidR="00F14C85" w:rsidRDefault="00F14C85" w:rsidP="00F14C85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B= basic skills; N= not basic skills.</w:t>
      </w:r>
    </w:p>
    <w:p w:rsidR="00F14C85" w:rsidRDefault="00F14C85" w:rsidP="00F14C85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CB21 codes for level prior to transfer:</w:t>
      </w:r>
    </w:p>
    <w:p w:rsidR="00F14C85" w:rsidRDefault="00F14C85" w:rsidP="00F14C85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Y = Not applicable; transfer level course.</w:t>
      </w:r>
    </w:p>
    <w:p w:rsidR="00F14C85" w:rsidRDefault="00F14C85" w:rsidP="00F14C85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 = 1 level below transfer.</w:t>
      </w:r>
    </w:p>
    <w:p w:rsidR="00F14C85" w:rsidRDefault="00F14C85" w:rsidP="00F14C85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B = 2 levels below transfer.</w:t>
      </w:r>
    </w:p>
    <w:p w:rsidR="00F14C85" w:rsidRDefault="00F14C85" w:rsidP="00F14C85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 = 3 levels below transfer.</w:t>
      </w:r>
    </w:p>
    <w:p w:rsidR="00F14C85" w:rsidRDefault="00F14C85" w:rsidP="00F14C85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Etc……</w:t>
      </w:r>
    </w:p>
    <w:p w:rsidR="00F14C85" w:rsidRDefault="00F14C85" w:rsidP="00F14C85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Committee reviewed ARCC basic skills data including completion rates and improvement rates.  Most of these numbers make sense.  </w:t>
      </w:r>
      <w:proofErr w:type="spellStart"/>
      <w:r>
        <w:rPr>
          <w:rFonts w:ascii="Arial" w:hAnsi="Arial"/>
        </w:rPr>
        <w:t>Rajinder</w:t>
      </w:r>
      <w:proofErr w:type="spellEnd"/>
      <w:r>
        <w:rPr>
          <w:rFonts w:ascii="Arial" w:hAnsi="Arial"/>
        </w:rPr>
        <w:t xml:space="preserve"> is reviewing how our in-house data compares to the ARCC data.  </w:t>
      </w:r>
      <w:proofErr w:type="spellStart"/>
      <w:r>
        <w:rPr>
          <w:rFonts w:ascii="Arial" w:hAnsi="Arial"/>
        </w:rPr>
        <w:t>Rajinder</w:t>
      </w:r>
      <w:proofErr w:type="spellEnd"/>
      <w:r>
        <w:rPr>
          <w:rFonts w:ascii="Arial" w:hAnsi="Arial"/>
        </w:rPr>
        <w:t xml:space="preserve"> is also meeting with individual basic skills department coordinators to review coding (CB08 and CB21) of courses.  We want to ensure that the accountability data is correct.  </w:t>
      </w:r>
    </w:p>
    <w:p w:rsidR="00F14C85" w:rsidRPr="00F14C85" w:rsidRDefault="00F14C85" w:rsidP="00F14C85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Committee Chair solicited information and ideas about what activities to include in BSI report.</w:t>
      </w:r>
    </w:p>
    <w:p w:rsidR="001A2AEF" w:rsidRPr="001A2AEF" w:rsidRDefault="001A2AEF" w:rsidP="001A2AEF">
      <w:pPr>
        <w:pStyle w:val="ListParagraph"/>
        <w:rPr>
          <w:rFonts w:ascii="Arial" w:hAnsi="Arial"/>
        </w:rPr>
      </w:pPr>
    </w:p>
    <w:p w:rsidR="001A2AEF" w:rsidRPr="00F14C85" w:rsidRDefault="001A2AEF" w:rsidP="001A2AE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Discuss research findings related to </w:t>
      </w:r>
      <w:r w:rsidRPr="001A2AEF">
        <w:rPr>
          <w:rFonts w:ascii="Arial" w:hAnsi="Arial"/>
          <w:i/>
        </w:rPr>
        <w:t>2011-2012 Basic Skills Allocation Action Plan and Expenditure Plan</w:t>
      </w:r>
      <w:r>
        <w:rPr>
          <w:rFonts w:ascii="Arial" w:hAnsi="Arial"/>
          <w:i/>
        </w:rPr>
        <w:t>.</w:t>
      </w:r>
      <w:r w:rsidR="00AE1AFA">
        <w:rPr>
          <w:rFonts w:ascii="Arial" w:hAnsi="Arial"/>
          <w:i/>
        </w:rPr>
        <w:t xml:space="preserve"> </w:t>
      </w:r>
    </w:p>
    <w:p w:rsidR="00F14C85" w:rsidRPr="00F14C85" w:rsidRDefault="00F14C85" w:rsidP="00F14C85">
      <w:pPr>
        <w:pStyle w:val="ListParagraph"/>
        <w:rPr>
          <w:rFonts w:ascii="Arial" w:hAnsi="Arial"/>
        </w:rPr>
      </w:pPr>
    </w:p>
    <w:p w:rsidR="00F14C85" w:rsidRDefault="00F14C85" w:rsidP="00F14C85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Fall 2010 English 102/104 and Health 1 Learning Community </w:t>
      </w:r>
      <w:r w:rsidR="00D72E83">
        <w:rPr>
          <w:rFonts w:ascii="Arial" w:hAnsi="Arial"/>
        </w:rPr>
        <w:t xml:space="preserve">(LC) </w:t>
      </w:r>
      <w:r>
        <w:rPr>
          <w:rFonts w:ascii="Arial" w:hAnsi="Arial"/>
        </w:rPr>
        <w:t>d</w:t>
      </w:r>
      <w:r w:rsidR="00D72E83">
        <w:rPr>
          <w:rFonts w:ascii="Arial" w:hAnsi="Arial"/>
        </w:rPr>
        <w:t xml:space="preserve">ata findings: </w:t>
      </w:r>
    </w:p>
    <w:p w:rsidR="00D72E83" w:rsidRPr="00D72E83" w:rsidRDefault="00D72E83" w:rsidP="00D72E83">
      <w:pPr>
        <w:ind w:left="720"/>
        <w:rPr>
          <w:sz w:val="20"/>
          <w:szCs w:val="20"/>
        </w:rPr>
      </w:pPr>
      <w:r w:rsidRPr="00D72E83">
        <w:rPr>
          <w:sz w:val="20"/>
          <w:szCs w:val="20"/>
        </w:rPr>
        <w:t xml:space="preserve">Success rates and persistence rates for the experimental group (LC students) and a comparison group were analyzed.  Data indicates that there is no substantial difference between the success rates of LC students and the comparison group (Table 1). Data indicates a substantial difference in the persistence rates for BS/GE LC students compared to the comparison group (Table 2).  94% of the BS/GE LC persisted to the following </w:t>
      </w:r>
      <w:proofErr w:type="gramStart"/>
      <w:r w:rsidRPr="00D72E83">
        <w:rPr>
          <w:sz w:val="20"/>
          <w:szCs w:val="20"/>
        </w:rPr>
        <w:t>Spring</w:t>
      </w:r>
      <w:proofErr w:type="gramEnd"/>
      <w:r w:rsidRPr="00D72E83">
        <w:rPr>
          <w:sz w:val="20"/>
          <w:szCs w:val="20"/>
        </w:rPr>
        <w:t xml:space="preserve"> semester, compared to 88% in the comparison group. </w:t>
      </w:r>
    </w:p>
    <w:p w:rsidR="00D72E83" w:rsidRDefault="00D72E83" w:rsidP="00D72E83">
      <w:pPr>
        <w:ind w:left="720"/>
        <w:rPr>
          <w:sz w:val="20"/>
          <w:szCs w:val="20"/>
        </w:rPr>
      </w:pPr>
    </w:p>
    <w:p w:rsidR="00D72E83" w:rsidRPr="00D72E83" w:rsidRDefault="00D72E83" w:rsidP="00D72E83">
      <w:pPr>
        <w:ind w:left="720"/>
        <w:rPr>
          <w:b/>
          <w:sz w:val="20"/>
          <w:szCs w:val="20"/>
        </w:rPr>
      </w:pPr>
    </w:p>
    <w:p w:rsidR="00D72E83" w:rsidRPr="00D72E83" w:rsidRDefault="00D72E83" w:rsidP="00D72E83">
      <w:pPr>
        <w:ind w:left="720"/>
        <w:rPr>
          <w:sz w:val="20"/>
          <w:szCs w:val="20"/>
        </w:rPr>
      </w:pPr>
      <w:r w:rsidRPr="00D72E83">
        <w:rPr>
          <w:sz w:val="20"/>
          <w:szCs w:val="20"/>
        </w:rPr>
        <w:t>Table 1: Success Rates for BS/GE LC Fall 2010 and Non-LC Comparison Group</w:t>
      </w:r>
    </w:p>
    <w:tbl>
      <w:tblPr>
        <w:tblW w:w="9411" w:type="dxa"/>
        <w:tblInd w:w="455" w:type="dxa"/>
        <w:tblLook w:val="04A0"/>
      </w:tblPr>
      <w:tblGrid>
        <w:gridCol w:w="4317"/>
        <w:gridCol w:w="984"/>
        <w:gridCol w:w="822"/>
        <w:gridCol w:w="822"/>
        <w:gridCol w:w="822"/>
        <w:gridCol w:w="822"/>
        <w:gridCol w:w="822"/>
      </w:tblGrid>
      <w:tr w:rsidR="00D72E83" w:rsidRPr="00D72E83" w:rsidTr="00D72E83">
        <w:trPr>
          <w:trHeight w:val="255"/>
        </w:trPr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b/>
                <w:color w:val="000000"/>
                <w:sz w:val="20"/>
                <w:szCs w:val="20"/>
              </w:rPr>
              <w:t>Success Rates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 xml:space="preserve">Las </w:t>
            </w:r>
            <w:proofErr w:type="spellStart"/>
            <w:r w:rsidRPr="00D72E83">
              <w:rPr>
                <w:rFonts w:cs="Arial"/>
                <w:color w:val="000000"/>
                <w:sz w:val="20"/>
                <w:szCs w:val="20"/>
              </w:rPr>
              <w:t>Positas</w:t>
            </w:r>
            <w:proofErr w:type="spellEnd"/>
            <w:r w:rsidRPr="00D72E83">
              <w:rPr>
                <w:rFonts w:cs="Arial"/>
                <w:color w:val="000000"/>
                <w:sz w:val="20"/>
                <w:szCs w:val="20"/>
              </w:rPr>
              <w:t xml:space="preserve"> College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BS/GE LC Students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Success Rates of Students Concurrently Enrolled in English 102 and Health 1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Fall2010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ENG  102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HLTH  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76%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Non-success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Withdrawal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</w:tr>
      <w:tr w:rsidR="00D72E83" w:rsidRPr="00D72E83" w:rsidTr="00D72E83">
        <w:trPr>
          <w:trHeight w:val="255"/>
        </w:trPr>
        <w:tc>
          <w:tcPr>
            <w:tcW w:w="9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Notes:   Success is a grade of 'A', 'B', 'C', 'CR', or 'P'.   Non-success is a grade of 'D', 'F', 'NC', 'NP', or 'I'.  Withdrawal is a “W”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 xml:space="preserve">Las </w:t>
            </w:r>
            <w:proofErr w:type="spellStart"/>
            <w:r w:rsidRPr="00D72E83">
              <w:rPr>
                <w:rFonts w:cs="Arial"/>
                <w:color w:val="000000"/>
                <w:sz w:val="20"/>
                <w:szCs w:val="20"/>
              </w:rPr>
              <w:t>Positas</w:t>
            </w:r>
            <w:proofErr w:type="spellEnd"/>
            <w:r w:rsidRPr="00D72E83">
              <w:rPr>
                <w:rFonts w:cs="Arial"/>
                <w:color w:val="000000"/>
                <w:sz w:val="20"/>
                <w:szCs w:val="20"/>
              </w:rPr>
              <w:t xml:space="preserve"> College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Non-LC Students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Success Rates of Students Concurrently Enrolled in English 102/104 and Health 1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Aggregated Data for Fall 2008, Fall 2009, and Fall 2010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ENG  102/104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HLTH  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78%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Non-success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Withdrawal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D72E83" w:rsidRPr="00D72E83" w:rsidTr="00D72E83">
        <w:trPr>
          <w:trHeight w:val="255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</w:tr>
      <w:tr w:rsidR="00D72E83" w:rsidRPr="00D72E83" w:rsidTr="00D72E83">
        <w:trPr>
          <w:trHeight w:val="255"/>
        </w:trPr>
        <w:tc>
          <w:tcPr>
            <w:tcW w:w="9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Notes:   Success is a grade of 'A', 'B', 'C', 'CR', or 'P'.   Non-success is a grade of 'D', 'F', 'NC', 'NP', or 'I'.  Withdrawal is a grade of 'W''. Success rates from distance education sections were excluded.</w:t>
            </w:r>
          </w:p>
        </w:tc>
      </w:tr>
    </w:tbl>
    <w:p w:rsidR="00D72E83" w:rsidRDefault="00D72E83" w:rsidP="00D72E83">
      <w:pPr>
        <w:ind w:left="720"/>
        <w:rPr>
          <w:sz w:val="20"/>
          <w:szCs w:val="20"/>
        </w:rPr>
      </w:pPr>
    </w:p>
    <w:p w:rsidR="00D72E83" w:rsidRDefault="00D72E83" w:rsidP="00D72E83">
      <w:pPr>
        <w:ind w:left="720"/>
        <w:rPr>
          <w:sz w:val="20"/>
          <w:szCs w:val="20"/>
        </w:rPr>
      </w:pPr>
    </w:p>
    <w:p w:rsidR="00D72E83" w:rsidRPr="00D72E83" w:rsidRDefault="00D72E83" w:rsidP="00D72E83">
      <w:pPr>
        <w:ind w:left="720"/>
        <w:rPr>
          <w:sz w:val="20"/>
          <w:szCs w:val="20"/>
        </w:rPr>
      </w:pPr>
    </w:p>
    <w:p w:rsidR="00D72E83" w:rsidRPr="00D72E83" w:rsidRDefault="00D72E83" w:rsidP="00D72E83">
      <w:pPr>
        <w:ind w:left="720"/>
        <w:rPr>
          <w:sz w:val="20"/>
          <w:szCs w:val="20"/>
        </w:rPr>
      </w:pPr>
      <w:r w:rsidRPr="00D72E83">
        <w:rPr>
          <w:sz w:val="20"/>
          <w:szCs w:val="20"/>
        </w:rPr>
        <w:t>Table 2: Persistence Rates for BS/GE LC Fall 2010 and Non-LC Comparison Group</w:t>
      </w:r>
    </w:p>
    <w:tbl>
      <w:tblPr>
        <w:tblW w:w="9386" w:type="dxa"/>
        <w:tblInd w:w="455" w:type="dxa"/>
        <w:tblLook w:val="04A0"/>
      </w:tblPr>
      <w:tblGrid>
        <w:gridCol w:w="2736"/>
        <w:gridCol w:w="1255"/>
        <w:gridCol w:w="1079"/>
        <w:gridCol w:w="1079"/>
        <w:gridCol w:w="1079"/>
        <w:gridCol w:w="1079"/>
        <w:gridCol w:w="1079"/>
      </w:tblGrid>
      <w:tr w:rsidR="00D72E83" w:rsidRPr="00D72E83" w:rsidTr="00D72E83">
        <w:trPr>
          <w:trHeight w:val="255"/>
        </w:trPr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b/>
                <w:color w:val="000000"/>
                <w:sz w:val="20"/>
                <w:szCs w:val="20"/>
              </w:rPr>
              <w:t>Persistence Rates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 xml:space="preserve">Las </w:t>
            </w:r>
            <w:proofErr w:type="spellStart"/>
            <w:r w:rsidRPr="00D72E83">
              <w:rPr>
                <w:rFonts w:cs="Arial"/>
                <w:color w:val="000000"/>
                <w:sz w:val="20"/>
                <w:szCs w:val="20"/>
              </w:rPr>
              <w:t>Positas</w:t>
            </w:r>
            <w:proofErr w:type="spellEnd"/>
            <w:r w:rsidRPr="00D72E83">
              <w:rPr>
                <w:rFonts w:cs="Arial"/>
                <w:color w:val="000000"/>
                <w:sz w:val="20"/>
                <w:szCs w:val="20"/>
              </w:rPr>
              <w:t xml:space="preserve"> College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Learning Community Students vs. Non-Learning Community Students</w:t>
            </w: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Fall to Spring Persistence Rates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72E83" w:rsidRPr="00D72E83" w:rsidTr="00D72E83">
        <w:trPr>
          <w:trHeight w:val="70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Persisted to the Following Spring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Did Not Persist to the Following Spring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D72E83" w:rsidRPr="00D72E83" w:rsidTr="00D72E83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Num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Pct</w:t>
            </w:r>
          </w:p>
        </w:tc>
      </w:tr>
      <w:tr w:rsidR="00D72E83" w:rsidRPr="00D72E83" w:rsidTr="00D72E83">
        <w:trPr>
          <w:trHeight w:val="51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Fall 10 Learning Community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</w:tr>
      <w:tr w:rsidR="00D72E83" w:rsidRPr="00D72E83" w:rsidTr="00D72E83">
        <w:trPr>
          <w:trHeight w:val="51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E83" w:rsidRPr="00D72E83" w:rsidRDefault="00D72E83" w:rsidP="004E304F">
            <w:pPr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Falls 08, 09, 10 Students in Non-Learning Communities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83" w:rsidRPr="00D72E83" w:rsidRDefault="00D72E83" w:rsidP="004E304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100%</w:t>
            </w:r>
          </w:p>
        </w:tc>
      </w:tr>
      <w:tr w:rsidR="00D72E83" w:rsidRPr="00D72E83" w:rsidTr="00D72E83">
        <w:trPr>
          <w:trHeight w:val="255"/>
        </w:trPr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83" w:rsidRPr="00D72E83" w:rsidRDefault="00D72E83" w:rsidP="00D72E83">
            <w:pPr>
              <w:ind w:left="360"/>
              <w:rPr>
                <w:rFonts w:cs="Arial"/>
                <w:color w:val="000000"/>
                <w:sz w:val="20"/>
                <w:szCs w:val="20"/>
              </w:rPr>
            </w:pPr>
            <w:r w:rsidRPr="00D72E83">
              <w:rPr>
                <w:rFonts w:cs="Arial"/>
                <w:color w:val="000000"/>
                <w:sz w:val="20"/>
                <w:szCs w:val="20"/>
              </w:rPr>
              <w:t>Notes. In order to be included in this data, students had to be concurrently enrolled in English 102/104 and Health 1.</w:t>
            </w:r>
          </w:p>
        </w:tc>
      </w:tr>
    </w:tbl>
    <w:p w:rsidR="00D72E83" w:rsidRDefault="00D72E83" w:rsidP="00D72E83">
      <w:pPr>
        <w:ind w:left="360"/>
      </w:pPr>
    </w:p>
    <w:p w:rsidR="00D72E83" w:rsidRDefault="00D72E83" w:rsidP="00D72E83">
      <w:pPr>
        <w:ind w:left="360"/>
      </w:pPr>
    </w:p>
    <w:p w:rsidR="00D72E83" w:rsidRPr="00352020" w:rsidRDefault="00D72E83" w:rsidP="00D72E83">
      <w:pPr>
        <w:ind w:left="360"/>
      </w:pPr>
      <w:r>
        <w:t>Data therefore</w:t>
      </w:r>
      <w:r w:rsidRPr="00352020">
        <w:t xml:space="preserve"> demonstrates that the BS/GE LC may support students to persist to the following semester at higher rates, compared to students taking stand-alone courses.</w:t>
      </w:r>
    </w:p>
    <w:p w:rsidR="00F14C85" w:rsidRPr="00F14C85" w:rsidRDefault="00F14C85" w:rsidP="00D72E83">
      <w:pPr>
        <w:spacing w:line="360" w:lineRule="auto"/>
        <w:rPr>
          <w:rFonts w:ascii="Arial" w:hAnsi="Arial"/>
        </w:rPr>
      </w:pPr>
    </w:p>
    <w:p w:rsidR="001A2AEF" w:rsidRPr="001A2AEF" w:rsidRDefault="001A2AEF" w:rsidP="001A2AEF">
      <w:pPr>
        <w:pStyle w:val="ListParagraph"/>
        <w:rPr>
          <w:rFonts w:ascii="Arial" w:hAnsi="Arial"/>
        </w:rPr>
      </w:pPr>
    </w:p>
    <w:p w:rsidR="001A2AEF" w:rsidRDefault="001A2AEF" w:rsidP="001A2AE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Strengthening Student Success Conference </w:t>
      </w:r>
      <w:r w:rsidR="003F100E">
        <w:rPr>
          <w:rFonts w:ascii="Arial" w:hAnsi="Arial"/>
        </w:rPr>
        <w:t>(SSSC</w:t>
      </w:r>
      <w:proofErr w:type="gramStart"/>
      <w:r w:rsidR="003F100E">
        <w:rPr>
          <w:rFonts w:ascii="Arial" w:hAnsi="Arial"/>
        </w:rPr>
        <w:t>)</w:t>
      </w:r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October 12-14, 2011, in San Francisco.</w:t>
      </w:r>
    </w:p>
    <w:p w:rsidR="001A2AEF" w:rsidRPr="001A2AEF" w:rsidRDefault="001A2AEF" w:rsidP="001A2AEF">
      <w:pPr>
        <w:pStyle w:val="ListParagraph"/>
        <w:rPr>
          <w:rFonts w:ascii="Arial" w:hAnsi="Arial"/>
        </w:rPr>
      </w:pPr>
    </w:p>
    <w:p w:rsidR="001A2AEF" w:rsidRDefault="001A2AEF" w:rsidP="001A2AEF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LPC team will be attending.  Team members: Lisa Everett, </w:t>
      </w:r>
      <w:proofErr w:type="spellStart"/>
      <w:r>
        <w:rPr>
          <w:rFonts w:ascii="Arial" w:hAnsi="Arial"/>
        </w:rPr>
        <w:t>Rajinder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Samra</w:t>
      </w:r>
      <w:proofErr w:type="spellEnd"/>
      <w:r>
        <w:rPr>
          <w:rFonts w:ascii="Arial" w:hAnsi="Arial"/>
        </w:rPr>
        <w:t xml:space="preserve">, Elena Cole, Colin Schatz, John </w:t>
      </w:r>
      <w:proofErr w:type="spellStart"/>
      <w:r>
        <w:rPr>
          <w:rFonts w:ascii="Arial" w:hAnsi="Arial"/>
        </w:rPr>
        <w:t>Ruys</w:t>
      </w:r>
      <w:proofErr w:type="spellEnd"/>
      <w:r>
        <w:rPr>
          <w:rFonts w:ascii="Arial" w:hAnsi="Arial"/>
        </w:rPr>
        <w:t>, Kimberly Tomlinson, Michelle Zapata, Jared Howard, Richard Grow.</w:t>
      </w:r>
    </w:p>
    <w:p w:rsidR="001A2AEF" w:rsidRPr="001A2AEF" w:rsidRDefault="001A2AEF" w:rsidP="001A2AEF">
      <w:pPr>
        <w:pStyle w:val="ListParagraph"/>
        <w:rPr>
          <w:rFonts w:ascii="Arial" w:hAnsi="Arial"/>
        </w:rPr>
      </w:pPr>
    </w:p>
    <w:p w:rsidR="003F100E" w:rsidRDefault="001A2AEF" w:rsidP="003F100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Next meeting: 9/28</w:t>
      </w:r>
      <w:r w:rsidR="00A50413" w:rsidRPr="001A2AEF">
        <w:rPr>
          <w:rFonts w:ascii="Arial" w:hAnsi="Arial"/>
        </w:rPr>
        <w:t>/2011, 3:30-4:30pm.</w:t>
      </w:r>
    </w:p>
    <w:p w:rsidR="003F100E" w:rsidRPr="003F100E" w:rsidRDefault="003F100E" w:rsidP="003F100E">
      <w:pPr>
        <w:spacing w:line="360" w:lineRule="auto"/>
        <w:ind w:left="360"/>
        <w:rPr>
          <w:rFonts w:ascii="Arial" w:hAnsi="Arial"/>
        </w:rPr>
      </w:pPr>
    </w:p>
    <w:p w:rsidR="003F100E" w:rsidRDefault="003F100E" w:rsidP="003F100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F100E">
        <w:rPr>
          <w:rFonts w:ascii="Arial" w:hAnsi="Arial"/>
        </w:rPr>
        <w:t>10/12/2011 Basic Skills Committee will be cancelled due to SSSC.</w:t>
      </w:r>
    </w:p>
    <w:p w:rsidR="00AB0018" w:rsidRDefault="00AB0018" w:rsidP="00AE1AFA">
      <w:pPr>
        <w:spacing w:line="360" w:lineRule="auto"/>
        <w:rPr>
          <w:rFonts w:ascii="Arial" w:hAnsi="Arial"/>
        </w:rPr>
      </w:pPr>
    </w:p>
    <w:p w:rsidR="00AE1AFA" w:rsidRPr="00AE1AFA" w:rsidRDefault="00AE1AFA" w:rsidP="00AE1AFA">
      <w:pPr>
        <w:spacing w:line="360" w:lineRule="auto"/>
        <w:rPr>
          <w:rFonts w:ascii="Arial" w:hAnsi="Arial"/>
        </w:rPr>
      </w:pPr>
    </w:p>
    <w:p w:rsidR="000A4C43" w:rsidRDefault="000A4C43" w:rsidP="000A4C43">
      <w:pPr>
        <w:pStyle w:val="ListParagraph"/>
        <w:rPr>
          <w:rFonts w:ascii="Arial" w:hAnsi="Arial"/>
        </w:rPr>
      </w:pPr>
    </w:p>
    <w:p w:rsidR="000A4C43" w:rsidRPr="001A2AEF" w:rsidRDefault="000A4C43" w:rsidP="001A2AEF">
      <w:pPr>
        <w:rPr>
          <w:rFonts w:ascii="Arial" w:hAnsi="Arial"/>
        </w:rPr>
      </w:pPr>
    </w:p>
    <w:sectPr w:rsidR="000A4C43" w:rsidRPr="001A2AEF" w:rsidSect="00CA19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9BD"/>
    <w:multiLevelType w:val="hybridMultilevel"/>
    <w:tmpl w:val="33721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A4437"/>
    <w:multiLevelType w:val="hybridMultilevel"/>
    <w:tmpl w:val="618A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B15"/>
    <w:multiLevelType w:val="hybridMultilevel"/>
    <w:tmpl w:val="9604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A193C"/>
    <w:multiLevelType w:val="hybridMultilevel"/>
    <w:tmpl w:val="8B3AA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C80361"/>
    <w:multiLevelType w:val="hybridMultilevel"/>
    <w:tmpl w:val="2D00A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245239"/>
    <w:multiLevelType w:val="hybridMultilevel"/>
    <w:tmpl w:val="D938B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CE25EF"/>
    <w:multiLevelType w:val="hybridMultilevel"/>
    <w:tmpl w:val="1982F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3A7B36"/>
    <w:multiLevelType w:val="hybridMultilevel"/>
    <w:tmpl w:val="1A048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266B"/>
    <w:rsid w:val="00001DC5"/>
    <w:rsid w:val="000A4C43"/>
    <w:rsid w:val="000D4179"/>
    <w:rsid w:val="001A2AEF"/>
    <w:rsid w:val="001D6258"/>
    <w:rsid w:val="001E33E0"/>
    <w:rsid w:val="001F311C"/>
    <w:rsid w:val="003F100E"/>
    <w:rsid w:val="0044714D"/>
    <w:rsid w:val="00522688"/>
    <w:rsid w:val="0067266B"/>
    <w:rsid w:val="006C1204"/>
    <w:rsid w:val="008779E7"/>
    <w:rsid w:val="00887399"/>
    <w:rsid w:val="00A04D83"/>
    <w:rsid w:val="00A50413"/>
    <w:rsid w:val="00AB0018"/>
    <w:rsid w:val="00AB49F3"/>
    <w:rsid w:val="00AE1AFA"/>
    <w:rsid w:val="00BB60C0"/>
    <w:rsid w:val="00C9406A"/>
    <w:rsid w:val="00CD505A"/>
    <w:rsid w:val="00D03B06"/>
    <w:rsid w:val="00D25A82"/>
    <w:rsid w:val="00D72E83"/>
    <w:rsid w:val="00F14C85"/>
    <w:rsid w:val="00F5708E"/>
    <w:rsid w:val="00FB0ECD"/>
    <w:rsid w:val="00FC1C4D"/>
    <w:rsid w:val="00FD41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266B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67266B"/>
    <w:rPr>
      <w:rFonts w:ascii="Arial" w:eastAsia="Times New Roman" w:hAnsi="Arial" w:cs="Arial"/>
      <w:b/>
      <w:bCs/>
    </w:rPr>
  </w:style>
  <w:style w:type="paragraph" w:styleId="Subtitle">
    <w:name w:val="Subtitle"/>
    <w:basedOn w:val="Normal"/>
    <w:link w:val="SubtitleChar"/>
    <w:qFormat/>
    <w:rsid w:val="0067266B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7266B"/>
    <w:rPr>
      <w:rFonts w:ascii="Arial" w:eastAsia="Times New Roman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7266B"/>
    <w:pPr>
      <w:ind w:left="720"/>
      <w:contextualSpacing/>
    </w:pPr>
  </w:style>
  <w:style w:type="table" w:styleId="TableGrid">
    <w:name w:val="Table Grid"/>
    <w:basedOn w:val="TableNormal"/>
    <w:rsid w:val="000D417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9873-08C1-4EB4-AC11-590BCADF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Lisa Everett</dc:creator>
  <cp:keywords/>
  <cp:lastModifiedBy>Staff</cp:lastModifiedBy>
  <cp:revision>3</cp:revision>
  <dcterms:created xsi:type="dcterms:W3CDTF">2011-11-08T21:35:00Z</dcterms:created>
  <dcterms:modified xsi:type="dcterms:W3CDTF">2011-11-08T21:42:00Z</dcterms:modified>
</cp:coreProperties>
</file>